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780464" w:rsidRPr="00EC3FF3" w:rsidP="003D1EA9" w14:paraId="577BA25D" w14:textId="22238B1A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156845</wp:posOffset>
            </wp:positionV>
            <wp:extent cx="70485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4C1" w:rsidP="00BC52F4" w14:paraId="3D10B3F6" w14:textId="77777777">
      <w:pPr>
        <w:pStyle w:val="Heading1"/>
      </w:pPr>
      <w:r>
        <w:t xml:space="preserve">    </w:t>
      </w:r>
    </w:p>
    <w:p w:rsidR="00780464" w:rsidRPr="00E42840" w:rsidP="00E42840" w14:paraId="44D4A69B" w14:textId="77777777">
      <w:pPr>
        <w:pStyle w:val="Heading1"/>
        <w:spacing w:line="360" w:lineRule="auto"/>
        <w:rPr>
          <w:rFonts w:ascii="Book Antiqua" w:hAnsi="Book Antiqua"/>
          <w:spacing w:val="26"/>
          <w:sz w:val="36"/>
          <w:szCs w:val="36"/>
        </w:rPr>
      </w:pPr>
      <w:r>
        <w:rPr>
          <w:rFonts w:ascii="Baskerville Old Face" w:hAnsi="Baskerville Old Face"/>
        </w:rPr>
        <w:t xml:space="preserve">      </w:t>
      </w:r>
      <w:r w:rsidR="00E42840">
        <w:rPr>
          <w:rFonts w:ascii="Baskerville Old Face" w:hAnsi="Baskerville Old Face"/>
        </w:rPr>
        <w:t xml:space="preserve">  </w:t>
      </w:r>
      <w:r w:rsidRPr="00E42840" w:rsidR="00BC52F4">
        <w:rPr>
          <w:rFonts w:ascii="Book Antiqua" w:hAnsi="Book Antiqua"/>
          <w:color w:val="800000"/>
          <w:spacing w:val="26"/>
          <w:sz w:val="36"/>
          <w:szCs w:val="36"/>
        </w:rPr>
        <w:t>HELLMUTH</w:t>
      </w:r>
      <w:r w:rsidRPr="00E42840" w:rsidR="00BC52F4">
        <w:rPr>
          <w:rFonts w:ascii="Book Antiqua" w:hAnsi="Book Antiqua"/>
          <w:spacing w:val="26"/>
          <w:sz w:val="36"/>
          <w:szCs w:val="36"/>
        </w:rPr>
        <w:t xml:space="preserve"> </w:t>
      </w:r>
      <w:r w:rsidRPr="00E42840" w:rsidR="00BC52F4">
        <w:rPr>
          <w:rFonts w:ascii="Book Antiqua" w:hAnsi="Book Antiqua"/>
          <w:color w:val="808080"/>
          <w:spacing w:val="26"/>
          <w:sz w:val="36"/>
          <w:szCs w:val="36"/>
        </w:rPr>
        <w:t>&amp;</w:t>
      </w:r>
      <w:r w:rsidRPr="00E42840" w:rsidR="00BC52F4">
        <w:rPr>
          <w:rFonts w:ascii="Book Antiqua" w:hAnsi="Book Antiqua"/>
          <w:spacing w:val="26"/>
          <w:sz w:val="36"/>
          <w:szCs w:val="36"/>
        </w:rPr>
        <w:t xml:space="preserve"> </w:t>
      </w:r>
      <w:r w:rsidRPr="00E42840" w:rsidR="00BC52F4">
        <w:rPr>
          <w:rFonts w:ascii="Book Antiqua" w:hAnsi="Book Antiqua"/>
          <w:color w:val="800000"/>
          <w:spacing w:val="26"/>
          <w:sz w:val="36"/>
          <w:szCs w:val="36"/>
        </w:rPr>
        <w:t>JOHNSON, PLLC</w:t>
      </w:r>
    </w:p>
    <w:p w:rsidR="00B35EA9" w:rsidRPr="00E42840" w:rsidP="00E42840" w14:paraId="2D0851AA" w14:textId="77777777">
      <w:pPr>
        <w:tabs>
          <w:tab w:val="right" w:pos="9180"/>
        </w:tabs>
        <w:rPr>
          <w:rFonts w:ascii="Kartika" w:hAnsi="Kartika" w:cs="Kartika"/>
          <w:b/>
          <w:color w:val="808080"/>
          <w:spacing w:val="26"/>
          <w:sz w:val="22"/>
          <w:szCs w:val="22"/>
        </w:rPr>
      </w:pPr>
      <w:r>
        <w:tab/>
      </w:r>
      <w:r w:rsidRPr="00E42840">
        <w:rPr>
          <w:rFonts w:ascii="Kartika" w:hAnsi="Kartika" w:cs="Kartika"/>
          <w:b/>
          <w:color w:val="808080"/>
          <w:spacing w:val="26"/>
          <w:sz w:val="22"/>
          <w:szCs w:val="22"/>
        </w:rPr>
        <w:t>ATTORNEYS</w:t>
      </w:r>
      <w:r>
        <w:rPr>
          <w:rFonts w:ascii="Kartika" w:hAnsi="Kartika" w:cs="Kartika"/>
          <w:b/>
          <w:color w:val="808080"/>
          <w:spacing w:val="26"/>
          <w:sz w:val="22"/>
          <w:szCs w:val="22"/>
        </w:rPr>
        <w:t xml:space="preserve"> </w:t>
      </w:r>
      <w:r w:rsidRPr="00E42840">
        <w:rPr>
          <w:rFonts w:ascii="Kartika" w:hAnsi="Kartika" w:cs="Kartika"/>
          <w:b/>
          <w:color w:val="808080"/>
          <w:sz w:val="22"/>
          <w:szCs w:val="22"/>
        </w:rPr>
        <w:t>AT</w:t>
      </w:r>
      <w:r>
        <w:rPr>
          <w:rFonts w:ascii="Kartika" w:hAnsi="Kartika" w:cs="Kartika"/>
          <w:b/>
          <w:color w:val="808080"/>
          <w:spacing w:val="26"/>
          <w:sz w:val="22"/>
          <w:szCs w:val="22"/>
        </w:rPr>
        <w:t xml:space="preserve"> </w:t>
      </w:r>
      <w:r w:rsidRPr="00E42840">
        <w:rPr>
          <w:rFonts w:ascii="Kartika" w:hAnsi="Kartika" w:cs="Kartika"/>
          <w:b/>
          <w:color w:val="808080"/>
          <w:spacing w:val="26"/>
          <w:sz w:val="22"/>
          <w:szCs w:val="22"/>
        </w:rPr>
        <w:t>LAW</w:t>
      </w:r>
    </w:p>
    <w:p w:rsidR="008324C1" w14:paraId="3331B9EE" w14:textId="77777777">
      <w:pPr>
        <w:pStyle w:val="Heading1"/>
        <w:rPr>
          <w:sz w:val="32"/>
          <w:szCs w:val="32"/>
        </w:rPr>
      </w:pPr>
    </w:p>
    <w:p w:rsidR="008F2081" w:rsidRPr="008B532A" w:rsidP="008F2081" w14:paraId="15B6AAC4" w14:textId="77777777">
      <w:pPr>
        <w:jc w:val="center"/>
        <w:rPr>
          <w:b/>
          <w:smallCaps/>
          <w:sz w:val="28"/>
          <w:szCs w:val="28"/>
        </w:rPr>
      </w:pPr>
      <w:r w:rsidRPr="008B532A">
        <w:rPr>
          <w:b/>
          <w:smallCaps/>
          <w:sz w:val="28"/>
          <w:szCs w:val="28"/>
        </w:rPr>
        <w:t>Independent Contractor Checklist</w:t>
      </w:r>
    </w:p>
    <w:p w:rsidR="008F2081" w:rsidRPr="008B532A" w:rsidP="008F2081" w14:paraId="1BC1E9BC" w14:textId="7EDC49A6">
      <w:pPr>
        <w:jc w:val="center"/>
        <w:rPr>
          <w:b/>
          <w:szCs w:val="24"/>
        </w:rPr>
      </w:pPr>
      <w:r w:rsidRPr="008B532A">
        <w:rPr>
          <w:b/>
          <w:szCs w:val="24"/>
        </w:rPr>
        <w:t xml:space="preserve">Construction </w:t>
      </w:r>
      <w:r w:rsidRPr="008B532A" w:rsidR="008B532A">
        <w:rPr>
          <w:b/>
          <w:szCs w:val="24"/>
        </w:rPr>
        <w:t>Industry - Minnesota</w:t>
      </w:r>
    </w:p>
    <w:p w:rsidR="008F2081" w:rsidRPr="008B532A" w:rsidP="008F2081" w14:paraId="7930A48A" w14:textId="77777777">
      <w:pPr>
        <w:jc w:val="center"/>
        <w:rPr>
          <w:b/>
          <w:sz w:val="22"/>
          <w:szCs w:val="22"/>
        </w:rPr>
      </w:pPr>
    </w:p>
    <w:tbl>
      <w:tblPr>
        <w:tblStyle w:val="TableGrid"/>
        <w:tblW w:w="10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0"/>
        <w:gridCol w:w="1333"/>
        <w:gridCol w:w="4653"/>
      </w:tblGrid>
      <w:tr w14:paraId="790DE694" w14:textId="77777777" w:rsidTr="000D7492">
        <w:tblPrEx>
          <w:tblW w:w="1024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F2081" w:rsidRPr="008B532A" w:rsidP="00F74D81" w14:paraId="5A253AC4" w14:textId="77777777">
            <w:pPr>
              <w:jc w:val="center"/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 w:rsidRPr="008B532A"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Item</w:t>
            </w:r>
          </w:p>
        </w:tc>
        <w:tc>
          <w:tcPr>
            <w:tcW w:w="1405" w:type="dxa"/>
          </w:tcPr>
          <w:p w:rsidR="008F2081" w:rsidRPr="008B532A" w:rsidP="00F74D81" w14:paraId="614C5C20" w14:textId="61CB6B0D">
            <w:pPr>
              <w:jc w:val="center"/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 w:rsidRPr="008B532A"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Yes</w:t>
            </w:r>
          </w:p>
        </w:tc>
        <w:tc>
          <w:tcPr>
            <w:tcW w:w="4378" w:type="dxa"/>
          </w:tcPr>
          <w:p w:rsidR="008F2081" w:rsidRPr="008B532A" w:rsidP="00F74D81" w14:paraId="4977192E" w14:textId="639CA13B">
            <w:pPr>
              <w:jc w:val="center"/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Number / Notes</w:t>
            </w:r>
          </w:p>
        </w:tc>
      </w:tr>
      <w:tr w14:paraId="08716F8A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3"/>
        </w:trPr>
        <w:tc>
          <w:tcPr>
            <w:tcW w:w="4463" w:type="dxa"/>
          </w:tcPr>
          <w:p w:rsidR="008F2081" w:rsidRPr="008B532A" w:rsidP="00FE0A4E" w14:paraId="2553B90C" w14:textId="6FBA80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Has s</w:t>
            </w:r>
            <w:r w:rsidRPr="002D5149" w:rsidR="008B532A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eparate legal entity (corporation</w:t>
            </w:r>
            <w:r w:rsidRPr="002D5149" w:rsidR="00FE0A4E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 xml:space="preserve"> </w:t>
            </w:r>
            <w:r w:rsidRPr="002D5149" w:rsidR="008B532A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/</w:t>
            </w:r>
            <w:r w:rsidRPr="002D5149" w:rsidR="00FE0A4E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 xml:space="preserve"> </w:t>
            </w:r>
            <w:r w:rsidRPr="002D5149" w:rsidR="008B532A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LLC)</w:t>
            </w:r>
          </w:p>
        </w:tc>
        <w:tc>
          <w:tcPr>
            <w:tcW w:w="1405" w:type="dxa"/>
          </w:tcPr>
          <w:p w:rsidR="008F2081" w:rsidRPr="008B532A" w:rsidP="00F74D81" w14:paraId="17EECFD0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F2081" w:rsidRPr="008B532A" w:rsidP="00CA67BB" w14:paraId="3FA718DB" w14:textId="471BA557">
            <w:pP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If not a Minnesota entity, must register with the Secretary of State</w:t>
            </w:r>
            <w:r w:rsidR="00CA67BB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.</w:t>
            </w:r>
          </w:p>
        </w:tc>
      </w:tr>
      <w:tr w14:paraId="056CDFC1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F2081" w:rsidRPr="008B532A" w:rsidP="00AE2E5B" w14:paraId="02D0BCC8" w14:textId="1FDDB3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You did not assist them in forming their entity</w:t>
            </w: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405" w:type="dxa"/>
          </w:tcPr>
          <w:p w:rsidR="008F2081" w:rsidRPr="008B532A" w:rsidP="00F74D81" w14:paraId="1CE6E840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F2081" w:rsidRPr="008B532A" w:rsidP="00CA67BB" w14:paraId="61689D71" w14:textId="6C5C91EA">
            <w:pP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They must form their entity separate from and without assistance from the general contractor.</w:t>
            </w:r>
          </w:p>
        </w:tc>
      </w:tr>
      <w:tr w14:paraId="2F5A091B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F2081" w:rsidRPr="008B532A" w:rsidP="00AE2E5B" w14:paraId="3CD0B193" w14:textId="28BD6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Federal tax ID number</w:t>
            </w:r>
          </w:p>
        </w:tc>
        <w:tc>
          <w:tcPr>
            <w:tcW w:w="1405" w:type="dxa"/>
          </w:tcPr>
          <w:p w:rsidR="008F2081" w:rsidRPr="008B532A" w:rsidP="00F74D81" w14:paraId="2D3932AA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F2081" w:rsidRPr="008B532A" w:rsidP="00F74D81" w14:paraId="06596A92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32B5514A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B532A" w:rsidRPr="008B532A" w:rsidP="00AE2E5B" w14:paraId="0AF014C6" w14:textId="6211BF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Minnesota state tax ID number</w:t>
            </w:r>
          </w:p>
        </w:tc>
        <w:tc>
          <w:tcPr>
            <w:tcW w:w="1405" w:type="dxa"/>
          </w:tcPr>
          <w:p w:rsidR="008B532A" w:rsidRPr="008B532A" w:rsidP="00F74D81" w14:paraId="3759947F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B532A" w:rsidRPr="008B532A" w:rsidP="00EE3823" w14:paraId="02A29831" w14:textId="1941807D">
            <w:pPr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If required by law, which would generally be if they have employees or make taxable sales.  We recommend requiring all subcontractors to have one to avoid any ambiguities.</w:t>
            </w:r>
          </w:p>
        </w:tc>
      </w:tr>
      <w:tr w14:paraId="3C134876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B532A" w:rsidRPr="008B532A" w:rsidP="00AE2E5B" w14:paraId="3DDFB57E" w14:textId="759BD8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Has provided a W-9</w:t>
            </w:r>
          </w:p>
        </w:tc>
        <w:tc>
          <w:tcPr>
            <w:tcW w:w="1405" w:type="dxa"/>
          </w:tcPr>
          <w:p w:rsidR="008B532A" w:rsidRPr="008B532A" w:rsidP="00F74D81" w14:paraId="4A42854E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B532A" w:rsidRPr="008B532A" w:rsidP="00F74D81" w14:paraId="7500D5B4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57F93569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CF6761" w:rsidRPr="008B532A" w:rsidP="00AE2E5B" w14:paraId="2C1C0EC7" w14:textId="282210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Liability insurance with Certificate of Insurance</w:t>
            </w:r>
          </w:p>
        </w:tc>
        <w:tc>
          <w:tcPr>
            <w:tcW w:w="1405" w:type="dxa"/>
          </w:tcPr>
          <w:p w:rsidR="00CF6761" w:rsidRPr="008B532A" w:rsidP="00F74D81" w14:paraId="4B6FA416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CF6761" w:rsidRPr="008B532A" w:rsidP="00F74D81" w14:paraId="14F6B7E3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128A3793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B532A" w:rsidRPr="008B532A" w:rsidP="00AE2E5B" w14:paraId="4CE89B20" w14:textId="1B129E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Workers compensation insurance with COI</w:t>
            </w:r>
          </w:p>
        </w:tc>
        <w:tc>
          <w:tcPr>
            <w:tcW w:w="1405" w:type="dxa"/>
          </w:tcPr>
          <w:p w:rsidR="008B532A" w:rsidRPr="008B532A" w:rsidP="00F74D81" w14:paraId="1293F18B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B532A" w:rsidRPr="008B532A" w:rsidP="00F74D81" w14:paraId="50A62FF2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0DC8A9AF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8B532A" w:rsidRPr="008B532A" w:rsidP="00AE2E5B" w14:paraId="5D411B3B" w14:textId="57B4CD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U</w:t>
            </w: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nemployment insurance account</w:t>
            </w:r>
          </w:p>
        </w:tc>
        <w:tc>
          <w:tcPr>
            <w:tcW w:w="1405" w:type="dxa"/>
          </w:tcPr>
          <w:p w:rsidR="008B532A" w:rsidRPr="008B532A" w:rsidP="00F74D81" w14:paraId="25BE831F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8B532A" w:rsidRPr="008B532A" w:rsidP="00F74D81" w14:paraId="18B90A31" w14:textId="3BABE6A2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If required by law</w:t>
            </w:r>
          </w:p>
        </w:tc>
      </w:tr>
      <w:tr w14:paraId="10AC2E43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8B532A" w:rsidP="00D03E01" w14:paraId="5C0B6FE1" w14:textId="206DEF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Receives a 1099 from you</w:t>
            </w:r>
          </w:p>
        </w:tc>
        <w:tc>
          <w:tcPr>
            <w:tcW w:w="1405" w:type="dxa"/>
          </w:tcPr>
          <w:p w:rsidR="00D03E01" w:rsidRPr="008B532A" w:rsidP="00D03E01" w14:paraId="3DCFF596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EE3823" w:rsidP="00D03E01" w14:paraId="6E0D5614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7FB13D96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8B532A" w:rsidP="00D03E01" w14:paraId="6F98C7AC" w14:textId="765F7F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hAnsi="Times New Roman" w:eastAsiaTheme="minorHAnsi" w:cs="Times New Roman"/>
                <w:sz w:val="22"/>
                <w:szCs w:val="22"/>
                <w:highlight w:val="yellow"/>
                <w:lang w:val="en-US" w:eastAsia="en-US" w:bidi="ar-SA"/>
              </w:rPr>
              <w:t>Is in good standing with the Minnesota Secretary of State</w:t>
            </w:r>
          </w:p>
        </w:tc>
        <w:tc>
          <w:tcPr>
            <w:tcW w:w="1405" w:type="dxa"/>
          </w:tcPr>
          <w:p w:rsidR="00D03E01" w:rsidRPr="008B532A" w:rsidP="00D03E01" w14:paraId="53311608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EE3823" w:rsidP="00D03E01" w14:paraId="1D271730" w14:textId="2D54FCD6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EE3823" w:rsidR="00EE3823">
              <w:rPr>
                <w:rStyle w:val="DefaultParagraphFont"/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https://mblsportal.sos.state.mn.us/Business/Search</w:t>
            </w:r>
            <w:r w:rsidRPr="00EE3823" w:rsidR="00EE3823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61EB54B8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3C4AAEFA" w14:textId="32DDF8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Is r</w:t>
            </w: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egistered as a construction contractor with the Minnesota Department of Labor</w:t>
            </w:r>
          </w:p>
        </w:tc>
        <w:tc>
          <w:tcPr>
            <w:tcW w:w="1405" w:type="dxa"/>
          </w:tcPr>
          <w:p w:rsidR="00D03E01" w:rsidRPr="008B532A" w:rsidP="00D03E01" w14:paraId="182783D1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EE3823" w:rsidP="00D03E01" w14:paraId="3F3134A9" w14:textId="77777777">
            <w:pPr>
              <w:jc w:val="center"/>
              <w:rPr>
                <w:rStyle w:val="Hyperlink"/>
                <w:rFonts w:ascii="Times New Roman" w:hAnsi="Times New Roman" w:eastAsiaTheme="minorHAnsi" w:cs="Times New Roman"/>
                <w:color w:val="0000FF" w:themeColor="hyperlink"/>
                <w:sz w:val="22"/>
                <w:szCs w:val="22"/>
                <w:u w:val="single"/>
                <w:lang w:val="en-US" w:eastAsia="en-US" w:bidi="ar-SA"/>
              </w:rPr>
            </w:pPr>
            <w:r w:rsidRPr="00EE3823">
              <w:rPr>
                <w:rStyle w:val="DefaultParagraphFont"/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http://www.doli.state.mn.us/CCLD/register.asp</w:t>
            </w:r>
          </w:p>
          <w:p w:rsidR="00D03E01" w:rsidRPr="00EE3823" w:rsidP="00D03E01" w14:paraId="3EF897FB" w14:textId="5FD5FA66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24A65528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62E75F70" w14:textId="55AE5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val="en-US" w:eastAsia="en-US" w:bidi="ar-SA"/>
              </w:rPr>
              <w:t>Has filed business or self-employment income tax returns, including estimated tax filings, with IRS and Minnesota as reporting income earned in the previous 12 months</w:t>
            </w:r>
          </w:p>
        </w:tc>
        <w:tc>
          <w:tcPr>
            <w:tcW w:w="1405" w:type="dxa"/>
          </w:tcPr>
          <w:p w:rsidR="00D03E01" w:rsidRPr="000D7492" w:rsidP="00D03E01" w14:paraId="614548F7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EE3823" w14:paraId="3A0D208B" w14:textId="15165B72">
            <w:pPr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Consider requir</w:t>
            </w:r>
            <w:r w:rsidR="000409B0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ing</w:t>
            </w: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them to sign an annual certification that all tax filing and payment obligations have been met.</w:t>
            </w:r>
          </w:p>
        </w:tc>
      </w:tr>
      <w:tr w14:paraId="7FA19FA0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0E82F4F5" w14:textId="2ADD18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0D74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Performs, or offers to provide or perform, the same or similar services for multiple other parties or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the </w:t>
            </w:r>
            <w:r w:rsidRPr="000D74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general public</w:t>
            </w:r>
          </w:p>
        </w:tc>
        <w:tc>
          <w:tcPr>
            <w:tcW w:w="1405" w:type="dxa"/>
          </w:tcPr>
          <w:p w:rsidR="00D03E01" w:rsidRPr="000D7492" w:rsidP="00D03E01" w14:paraId="50FC1F7D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7350D8FF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709608A6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648105BB" w14:textId="3F1EDC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W</w:t>
            </w:r>
            <w:r w:rsidRPr="000D7492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ritten contract with you that:</w:t>
            </w:r>
          </w:p>
        </w:tc>
        <w:tc>
          <w:tcPr>
            <w:tcW w:w="1405" w:type="dxa"/>
          </w:tcPr>
          <w:p w:rsidR="00D03E01" w:rsidRPr="000D7492" w:rsidP="00D03E01" w14:paraId="44C5B4AB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6FB0E6E0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0D7492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Can use a Master Subcontractor Agreement</w:t>
            </w:r>
          </w:p>
        </w:tc>
      </w:tr>
      <w:tr w14:paraId="584BF512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5B40E7A5" w14:textId="7679553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0D74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is signed and dated by both parties</w:t>
            </w:r>
          </w:p>
        </w:tc>
        <w:tc>
          <w:tcPr>
            <w:tcW w:w="1405" w:type="dxa"/>
          </w:tcPr>
          <w:p w:rsidR="00D03E01" w:rsidRPr="000D7492" w:rsidP="00D03E01" w14:paraId="64037D8B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74F4396D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64BA5B3D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1CA11214" w14:textId="5C4B134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val="en-US" w:eastAsia="en-US" w:bidi="ar-SA"/>
              </w:rPr>
              <w:t>is fully executed no later than 30 days after the date work commences</w:t>
            </w:r>
          </w:p>
        </w:tc>
        <w:tc>
          <w:tcPr>
            <w:tcW w:w="1405" w:type="dxa"/>
          </w:tcPr>
          <w:p w:rsidR="00D03E01" w:rsidRPr="000D7492" w:rsidP="00D03E01" w14:paraId="6A3F5757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1B0688CA" w14:textId="4EA71143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 w:rsidRPr="000D7492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Does not apply to change orders</w:t>
            </w:r>
          </w:p>
        </w:tc>
      </w:tr>
      <w:tr w14:paraId="4ACE1018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5A02D61A" w14:textId="6CE62C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0D74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identifies the specific services to be provided or performed under the contract</w:t>
            </w:r>
          </w:p>
        </w:tc>
        <w:tc>
          <w:tcPr>
            <w:tcW w:w="1405" w:type="dxa"/>
          </w:tcPr>
          <w:p w:rsidR="00D03E01" w:rsidRPr="000D7492" w:rsidP="00D03E01" w14:paraId="39DC9A22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5F11D966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6190EB86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085325CB" w14:textId="1016B0C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0D74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provides for compensation on a commission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, </w:t>
            </w:r>
            <w:r w:rsidRPr="000D74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per-job or competitive bid basis and not on any other basis</w:t>
            </w:r>
          </w:p>
        </w:tc>
        <w:tc>
          <w:tcPr>
            <w:tcW w:w="1405" w:type="dxa"/>
          </w:tcPr>
          <w:p w:rsidR="00D03E01" w:rsidRPr="000D7492" w:rsidP="00D03E01" w14:paraId="78DD88CD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65D6192E" w14:textId="5BC6955A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May not</w:t>
            </w:r>
            <w:r w:rsidRPr="000D7492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pay hourly </w:t>
            </w:r>
          </w:p>
        </w:tc>
      </w:tr>
      <w:tr w14:paraId="28F585F0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0D7492" w:rsidP="00D03E01" w14:paraId="74C6C011" w14:textId="5CBC2BB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2D514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val="en-US" w:eastAsia="en-US" w:bidi="ar-SA"/>
              </w:rPr>
              <w:t>states that they have control over the means of providing or performing the services</w:t>
            </w:r>
          </w:p>
        </w:tc>
        <w:tc>
          <w:tcPr>
            <w:tcW w:w="1405" w:type="dxa"/>
          </w:tcPr>
          <w:p w:rsidR="00D03E01" w:rsidRPr="000D7492" w:rsidP="00D03E01" w14:paraId="07C3323B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666AC431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4AD0D1F2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P="00D03E01" w14:paraId="5154D29E" w14:textId="58D814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Does actually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 have control</w:t>
            </w:r>
            <w:r w:rsidRPr="00067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 over the means of providing or performing the services</w:t>
            </w:r>
          </w:p>
        </w:tc>
        <w:tc>
          <w:tcPr>
            <w:tcW w:w="1405" w:type="dxa"/>
          </w:tcPr>
          <w:p w:rsidR="00D03E01" w:rsidRPr="000D7492" w:rsidP="00D03E01" w14:paraId="3E20D8A8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0D7492" w:rsidP="00D03E01" w14:paraId="0D247608" w14:textId="7777777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1369EDB6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463" w:type="dxa"/>
          </w:tcPr>
          <w:p w:rsidR="00D03E01" w:rsidRPr="008B532A" w:rsidP="00D03E01" w14:paraId="46D6AA16" w14:textId="4CBB97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Submits invoices in business entity name and receives payments in business entity name</w:t>
            </w:r>
          </w:p>
        </w:tc>
        <w:tc>
          <w:tcPr>
            <w:tcW w:w="1405" w:type="dxa"/>
          </w:tcPr>
          <w:p w:rsidR="00D03E01" w:rsidRPr="008B532A" w:rsidP="00D03E01" w14:paraId="3447E97B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8B532A" w:rsidP="00D03E01" w14:paraId="45D4E535" w14:textId="3004AAA2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May not pay in cash</w:t>
            </w:r>
          </w:p>
        </w:tc>
      </w:tr>
      <w:tr w14:paraId="48A4F094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49"/>
        </w:trPr>
        <w:tc>
          <w:tcPr>
            <w:tcW w:w="4463" w:type="dxa"/>
          </w:tcPr>
          <w:p w:rsidR="00D03E01" w:rsidRPr="008B532A" w:rsidP="00D03E01" w14:paraId="4F39C943" w14:textId="76B5A2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Incurs</w:t>
            </w: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the main expenses related the</w:t>
            </w:r>
            <w:r w:rsidR="00EE3823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ir</w:t>
            </w: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work</w:t>
            </w: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1405" w:type="dxa"/>
          </w:tcPr>
          <w:p w:rsidR="00D03E01" w:rsidRPr="008B532A" w:rsidP="00D03E01" w14:paraId="76EAE8E0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8B532A" w:rsidP="00D03E01" w14:paraId="2CF4DBE7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1410BBBB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39"/>
        </w:trPr>
        <w:tc>
          <w:tcPr>
            <w:tcW w:w="4463" w:type="dxa"/>
          </w:tcPr>
          <w:p w:rsidR="00D03E01" w:rsidRPr="008B532A" w:rsidP="00D03E01" w14:paraId="7AAE386D" w14:textId="0A2BDF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I</w:t>
            </w:r>
            <w:r w:rsidRPr="00067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s responsible for the completion of or failure to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 complete</w:t>
            </w:r>
            <w:r w:rsidRPr="00067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their work.</w:t>
            </w:r>
          </w:p>
        </w:tc>
        <w:tc>
          <w:tcPr>
            <w:tcW w:w="1405" w:type="dxa"/>
          </w:tcPr>
          <w:p w:rsidR="00D03E01" w:rsidRPr="008B532A" w:rsidP="00D03E01" w14:paraId="08B7A590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8B532A" w:rsidP="00D03E01" w14:paraId="08573173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4FF6432E" w14:textId="77777777" w:rsidTr="000D7492">
        <w:tblPrEx>
          <w:tblW w:w="1024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72"/>
        </w:trPr>
        <w:tc>
          <w:tcPr>
            <w:tcW w:w="4463" w:type="dxa"/>
          </w:tcPr>
          <w:p w:rsidR="00D03E01" w:rsidRPr="008B532A" w:rsidP="00D03E01" w14:paraId="60FEBC30" w14:textId="748FA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M</w:t>
            </w:r>
            <w:r w:rsidRPr="00067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ay realize additional profit or suffer a loss if costs and expenses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of the</w:t>
            </w:r>
            <w:r w:rsidR="00EE38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 work </w:t>
            </w:r>
            <w:r w:rsidRPr="00067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are less or greater than the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US" w:bidi="ar-SA"/>
              </w:rPr>
              <w:t>agreed upon compensation amount.</w:t>
            </w:r>
          </w:p>
        </w:tc>
        <w:tc>
          <w:tcPr>
            <w:tcW w:w="1405" w:type="dxa"/>
          </w:tcPr>
          <w:p w:rsidR="00D03E01" w:rsidRPr="008B532A" w:rsidP="00D03E01" w14:paraId="278673AD" w14:textId="77777777">
            <w:pPr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78" w:type="dxa"/>
          </w:tcPr>
          <w:p w:rsidR="00D03E01" w:rsidRPr="008B532A" w:rsidP="00EE3823" w14:paraId="6C107F73" w14:textId="233CC4ED">
            <w:pPr>
              <w:jc w:val="both"/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D</w:t>
            </w: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oes the success of their business depend on not losing money?</w:t>
            </w: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 xml:space="preserve">  </w:t>
            </w:r>
            <w:r w:rsidRPr="008B532A"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If they profit by the same amount no matter how long it takes or the expenses involved in doing the work, then the answer to this question is “No</w:t>
            </w:r>
            <w:r>
              <w:rPr>
                <w:rFonts w:ascii="Times New Roman" w:hAnsi="Times New Roman" w:eastAsiaTheme="minorHAnsi" w:cs="Times New Roman"/>
                <w:sz w:val="22"/>
                <w:szCs w:val="22"/>
                <w:lang w:val="en-US" w:eastAsia="en-US" w:bidi="ar-SA"/>
              </w:rPr>
              <w:t>”</w:t>
            </w:r>
          </w:p>
        </w:tc>
      </w:tr>
    </w:tbl>
    <w:p w:rsidR="00EE3823" w:rsidRPr="000409B0" w:rsidP="00CA66F2" w14:paraId="28CF78A9" w14:textId="29B9BF62">
      <w:pPr>
        <w:jc w:val="both"/>
        <w:rPr>
          <w:b/>
          <w:i/>
          <w:iCs/>
          <w:sz w:val="22"/>
          <w:szCs w:val="22"/>
        </w:rPr>
      </w:pPr>
      <w:r w:rsidRPr="000409B0">
        <w:rPr>
          <w:b/>
          <w:i/>
          <w:iCs/>
          <w:sz w:val="22"/>
          <w:szCs w:val="22"/>
        </w:rPr>
        <w:t xml:space="preserve">If you have questions about any of the criteria or need assistance with documentation for independent contractors please contact attorney Blake Nelson at 952-746-2131 or </w:t>
      </w:r>
      <w:r w:rsidRPr="000409B0">
        <w:rPr>
          <w:rStyle w:val="DefaultParagraphFont"/>
          <w:b/>
          <w:i/>
          <w:iCs/>
          <w:sz w:val="22"/>
          <w:szCs w:val="22"/>
        </w:rPr>
        <w:t>bnelson@hjlawfirm.com</w:t>
      </w:r>
      <w:r w:rsidRPr="000409B0">
        <w:rPr>
          <w:b/>
          <w:i/>
          <w:iCs/>
          <w:sz w:val="22"/>
          <w:szCs w:val="22"/>
        </w:rPr>
        <w:t xml:space="preserve">. </w:t>
      </w:r>
    </w:p>
    <w:sectPr w:rsidSect="00EE3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8" w:right="1152" w:bottom="864" w:left="1152" w:header="965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40" w:rsidP="00B35EA9" w14:paraId="104CAF8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840" w14:paraId="68F582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40" w:rsidP="00B35EA9" w14:paraId="2BDF50B8" w14:textId="77777777">
    <w:pPr>
      <w:pStyle w:val="Footer"/>
      <w:framePr w:wrap="around" w:vAnchor="text" w:hAnchor="margin" w:xAlign="center" w:y="1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40" w:rsidRPr="00B35EA9" w:rsidP="00B35EA9" w14:paraId="40E0F19E" w14:textId="77777777">
    <w:pPr>
      <w:pStyle w:val="Heading1"/>
      <w:jc w:val="left"/>
      <w:rPr>
        <w:sz w:val="22"/>
        <w:szCs w:val="22"/>
      </w:rPr>
    </w:pPr>
    <w:r w:rsidRPr="00B35EA9">
      <w:rPr>
        <w:sz w:val="22"/>
        <w:szCs w:val="22"/>
      </w:rPr>
      <w:t>Privileged and Confidential                                                                                 Attorney Work Product</w:t>
    </w:r>
  </w:p>
  <w:p w:rsidR="00E42840" w14:paraId="10A21C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52" w14:paraId="7F0321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52" w14:paraId="41EB73D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52" w14:paraId="01443E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F94B47"/>
    <w:multiLevelType w:val="hybridMultilevel"/>
    <w:tmpl w:val="95487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48"/>
    <w:rsid w:val="00035763"/>
    <w:rsid w:val="000409B0"/>
    <w:rsid w:val="000625F0"/>
    <w:rsid w:val="00067AC0"/>
    <w:rsid w:val="000D6AE3"/>
    <w:rsid w:val="000D7492"/>
    <w:rsid w:val="00145064"/>
    <w:rsid w:val="001E6AB1"/>
    <w:rsid w:val="00210696"/>
    <w:rsid w:val="00292052"/>
    <w:rsid w:val="002D5149"/>
    <w:rsid w:val="002E193D"/>
    <w:rsid w:val="002E4C91"/>
    <w:rsid w:val="003908F4"/>
    <w:rsid w:val="003D1EA9"/>
    <w:rsid w:val="00436264"/>
    <w:rsid w:val="004C6E8D"/>
    <w:rsid w:val="005D0114"/>
    <w:rsid w:val="005D2A64"/>
    <w:rsid w:val="0069178A"/>
    <w:rsid w:val="006B7A42"/>
    <w:rsid w:val="00780464"/>
    <w:rsid w:val="008324C1"/>
    <w:rsid w:val="008B532A"/>
    <w:rsid w:val="008F2081"/>
    <w:rsid w:val="0094037A"/>
    <w:rsid w:val="009527DC"/>
    <w:rsid w:val="009E29FB"/>
    <w:rsid w:val="00A16E3B"/>
    <w:rsid w:val="00AD4F88"/>
    <w:rsid w:val="00AE2E5B"/>
    <w:rsid w:val="00B246C2"/>
    <w:rsid w:val="00B35EA9"/>
    <w:rsid w:val="00BC52F4"/>
    <w:rsid w:val="00CA66F2"/>
    <w:rsid w:val="00CA67BB"/>
    <w:rsid w:val="00CC1E96"/>
    <w:rsid w:val="00CF6761"/>
    <w:rsid w:val="00D03E01"/>
    <w:rsid w:val="00D0669A"/>
    <w:rsid w:val="00D34E33"/>
    <w:rsid w:val="00D44B48"/>
    <w:rsid w:val="00D73587"/>
    <w:rsid w:val="00E42840"/>
    <w:rsid w:val="00EB12EB"/>
    <w:rsid w:val="00EC3FF3"/>
    <w:rsid w:val="00EE3823"/>
    <w:rsid w:val="00EF0969"/>
    <w:rsid w:val="00F60592"/>
    <w:rsid w:val="00F74D81"/>
    <w:rsid w:val="00FE0A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6712B9"/>
  <w15:docId w15:val="{3EDC35DB-DC57-4348-9381-4054F508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C2"/>
  </w:style>
  <w:style w:type="paragraph" w:styleId="Heading1">
    <w:name w:val="heading 1"/>
    <w:basedOn w:val="Normal"/>
    <w:next w:val="Normal"/>
    <w:qFormat/>
    <w:rsid w:val="00B246C2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246C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B246C2"/>
  </w:style>
  <w:style w:type="paragraph" w:styleId="BalloonText">
    <w:name w:val="Balloon Text"/>
    <w:basedOn w:val="Normal"/>
    <w:semiHidden/>
    <w:rsid w:val="006B7A42"/>
    <w:rPr>
      <w:rFonts w:cs="Tahoma"/>
      <w:sz w:val="16"/>
      <w:szCs w:val="16"/>
    </w:rPr>
  </w:style>
  <w:style w:type="paragraph" w:styleId="Header">
    <w:name w:val="header"/>
    <w:basedOn w:val="Normal"/>
    <w:rsid w:val="00B35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5EA9"/>
  </w:style>
  <w:style w:type="paragraph" w:styleId="ListParagraph">
    <w:name w:val="List Paragraph"/>
    <w:basedOn w:val="Normal"/>
    <w:uiPriority w:val="34"/>
    <w:qFormat/>
    <w:rsid w:val="008F2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F20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62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WorkSite!9721913.1</documentid>
  <senderid>BNELSON</senderid>
  <senderemail>BNELSON@HJLAWFIRM.COM</senderemail>
  <lastmodified>2024-11-15T13:26:00.0000000-06:00</lastmodified>
  <database>WorkSite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0" ma:contentTypeDescription="Create a new document." ma:contentTypeScope="" ma:versionID="0a84b9b99d43480e2c21a2610ed9ce7c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6b66df7b2fa67bdce3067cafe001693c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504B2A5F-E4D7-45A6-833A-5EADD95CB75F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3296065-5FB2-4FA6-AAFF-E3C6A3273D07}"/>
</file>

<file path=customXml/itemProps3.xml><?xml version="1.0" encoding="utf-8"?>
<ds:datastoreItem xmlns:ds="http://schemas.openxmlformats.org/officeDocument/2006/customXml" ds:itemID="{3E7D1D75-B28C-4119-91F3-AD4783D2BB18}"/>
</file>

<file path=customXml/itemProps4.xml><?xml version="1.0" encoding="utf-8"?>
<ds:datastoreItem xmlns:ds="http://schemas.openxmlformats.org/officeDocument/2006/customXml" ds:itemID="{1206F247-6328-485F-8566-A38A1C2B0141}"/>
</file>

<file path=docProps/app.xml><?xml version="1.0" encoding="utf-8"?>
<ap:Properties xmlns:vt="http://schemas.openxmlformats.org/officeDocument/2006/docPropsVTypes" xmlns:ap="http://schemas.openxmlformats.org/officeDocument/2006/extended-properties">
  <ap:Template>MEMO - with logo</ap:Template>
  <ap:TotalTime>2</ap:TotalTime>
  <ap:Pages>1</ap:Pages>
  <ap:Words>454</ap:Words>
  <ap:Characters>2593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3041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2025-02-18T23:12:37Z</dcterms:created>
  <dcterms:modified xsi:type="dcterms:W3CDTF">2025-02-18T23:12:37Z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